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版本号：HRC-ZBDL-2026-0072020260603001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朝阳校区1-5#教学楼外墙维修翻新项目设计服务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HRC-ZBDL-2026-00720</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朝阳校区1-5#教学楼外墙维修翻新项目设计服务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HRC-ZBDL-2026-00720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朝阳校区1-5#教学楼外墙维修翻新项目设计服务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渭南师范学院朝阳校区1-5#教学楼外墙维修翻新项目设计服务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采购包1（朝阳校区1-5#教学楼外墙维修翻新项目设计服务）：属于专门面向中小企业采购。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1、法定代表人身份证明或法定代表人授权委托书：法定代表人授权委托书（附法定代表人身份证复印件）及被授权人身份证（法定代表人直接参加投标只须提供法定代表人身份证明及身份证原件）。</w:t>
      </w:r>
    </w:p>
    <w:p>
      <w:pPr>
        <w:pStyle w:val="null3"/>
      </w:pPr>
      <w:r>
        <w:rPr>
          <w:rFonts w:ascii="仿宋_GB2312" w:hAnsi="仿宋_GB2312" w:cs="仿宋_GB2312" w:eastAsia="仿宋_GB2312"/>
        </w:rPr>
        <w:t>2、供应商资质要求：供应商具有建设行政主管部门核发的有效的工程设计综合甲级资质或建筑行业工程设计乙级及以上资质或建筑行业（建筑工程专业）乙级及以上资质。</w:t>
      </w:r>
    </w:p>
    <w:p>
      <w:pPr>
        <w:pStyle w:val="null3"/>
      </w:pPr>
      <w:r>
        <w:rPr>
          <w:rFonts w:ascii="仿宋_GB2312" w:hAnsi="仿宋_GB2312" w:cs="仿宋_GB2312" w:eastAsia="仿宋_GB2312"/>
        </w:rPr>
        <w:t>3、拟派设计负责人：供应商拟派设计负责人具有二级及以上注册建筑师执业资格且在本单位注册。</w:t>
      </w:r>
    </w:p>
    <w:p>
      <w:pPr>
        <w:pStyle w:val="null3"/>
      </w:pPr>
      <w:r>
        <w:rPr>
          <w:rFonts w:ascii="仿宋_GB2312" w:hAnsi="仿宋_GB2312" w:cs="仿宋_GB2312" w:eastAsia="仿宋_GB2312"/>
        </w:rPr>
        <w:t>4、供应商信用要求：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提供网站查询截图）。</w:t>
      </w:r>
    </w:p>
    <w:p>
      <w:pPr>
        <w:pStyle w:val="null3"/>
      </w:pPr>
      <w:r>
        <w:rPr>
          <w:rFonts w:ascii="仿宋_GB2312" w:hAnsi="仿宋_GB2312" w:cs="仿宋_GB2312" w:eastAsia="仿宋_GB2312"/>
        </w:rPr>
        <w:t>5、是否接受联合体磋商：本项目不接受联合体磋商（提供书面声明）。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张静、朱媛媛、陈定彩、王径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029-85393806/15229093502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采购包1：146,650.00元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依据国家计委印发的《招标代理服务收费管理暂行办法》（计价格[2002]1980号）和国家发展和改革委员会印发的《国家发展改革委关于降低部分建设项目收费标准规范收费行为等有关问题的通知》（发改价格[2011]534号）的收费标准计取，以成交价为基数取费。 2、成交人在领取成交通知书前，须向采购代理机构一次性支付代理服务费。 3、代理服务费缴纳账户信息： 户名：华睿诚项目管理有限公司 开户行名称：西安银行小寨东路支行 账号：8160 1158 0000 1012 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详见竞争性磋商文件和设计服务合同。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联系人：王径</w:t>
      </w:r>
    </w:p>
    <w:p>
      <w:pPr>
        <w:pStyle w:val="null3"/>
      </w:pPr>
      <w:r>
        <w:rPr>
          <w:rFonts w:ascii="仿宋_GB2312" w:hAnsi="仿宋_GB2312" w:cs="仿宋_GB2312" w:eastAsia="仿宋_GB2312"/>
        </w:rPr>
        <w:t>联系电话：15229093502</w:t>
      </w:r>
    </w:p>
    <w:p>
      <w:pPr>
        <w:pStyle w:val="null3"/>
      </w:pPr>
      <w:r>
        <w:rPr>
          <w:rFonts w:ascii="仿宋_GB2312" w:hAnsi="仿宋_GB2312" w:cs="仿宋_GB2312" w:eastAsia="仿宋_GB2312"/>
        </w:rPr>
        <w:t>地址：陕西省西安市曲江新区雁翔路3269号旺座曲江E座29-30层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朝阳校区1-5#教学楼外墙维修翻新项目设计服务，主要内容为1-5#教学楼维修翻新设计，含图纸、工程量清单、造价、设计方案等内容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146,650.00</w:t>
      </w:r>
    </w:p>
    <w:p>
      <w:pPr>
        <w:pStyle w:val="null3"/>
      </w:pPr>
      <w:r>
        <w:rPr>
          <w:rFonts w:ascii="仿宋_GB2312" w:hAnsi="仿宋_GB2312" w:cs="仿宋_GB2312" w:eastAsia="仿宋_GB2312"/>
        </w:rPr>
        <w:t>采购包最高限价（元）: 146,650.00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朝阳校区1至5号教学楼外墙维修翻新项目设计服务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146,650.00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标的名称：朝阳校区1至5号教学楼外墙维修翻新项目设计服务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项目</w:t>
            </w:r>
            <w:r>
              <w:rPr>
                <w:rFonts w:ascii="仿宋_GB2312" w:hAnsi="仿宋_GB2312" w:cs="仿宋_GB2312" w:eastAsia="仿宋_GB2312"/>
                <w:sz w:val="24"/>
                <w:b/>
              </w:rPr>
              <w:t>概况</w:t>
            </w:r>
          </w:p>
          <w:p>
            <w:pPr>
              <w:pStyle w:val="null3"/>
              <w:ind w:firstLine="480"/>
              <w:jc w:val="left"/>
            </w:pPr>
            <w:r>
              <w:rPr>
                <w:rFonts w:ascii="仿宋_GB2312" w:hAnsi="仿宋_GB2312" w:cs="仿宋_GB2312" w:eastAsia="仿宋_GB2312"/>
                <w:sz w:val="24"/>
              </w:rPr>
              <w:t>我校</w:t>
            </w:r>
            <w:r>
              <w:rPr>
                <w:rFonts w:ascii="仿宋_GB2312" w:hAnsi="仿宋_GB2312" w:cs="仿宋_GB2312" w:eastAsia="仿宋_GB2312"/>
                <w:sz w:val="24"/>
              </w:rPr>
              <w:t>朝阳校区于</w:t>
            </w:r>
            <w:r>
              <w:rPr>
                <w:rFonts w:ascii="仿宋_GB2312" w:hAnsi="仿宋_GB2312" w:cs="仿宋_GB2312" w:eastAsia="仿宋_GB2312"/>
                <w:sz w:val="24"/>
              </w:rPr>
              <w:t>2003年建成投用，占地850余亩</w:t>
            </w:r>
            <w:r>
              <w:rPr>
                <w:rFonts w:ascii="仿宋_GB2312" w:hAnsi="仿宋_GB2312" w:cs="仿宋_GB2312" w:eastAsia="仿宋_GB2312"/>
                <w:sz w:val="24"/>
              </w:rPr>
              <w:t>，</w:t>
            </w:r>
            <w:r>
              <w:rPr>
                <w:rFonts w:ascii="仿宋_GB2312" w:hAnsi="仿宋_GB2312" w:cs="仿宋_GB2312" w:eastAsia="仿宋_GB2312"/>
                <w:sz w:val="24"/>
              </w:rPr>
              <w:t>校区</w:t>
            </w:r>
            <w:r>
              <w:rPr>
                <w:rFonts w:ascii="仿宋_GB2312" w:hAnsi="仿宋_GB2312" w:cs="仿宋_GB2312" w:eastAsia="仿宋_GB2312"/>
                <w:sz w:val="24"/>
              </w:rPr>
              <w:t>已</w:t>
            </w:r>
            <w:r>
              <w:rPr>
                <w:rFonts w:ascii="仿宋_GB2312" w:hAnsi="仿宋_GB2312" w:cs="仿宋_GB2312" w:eastAsia="仿宋_GB2312"/>
                <w:sz w:val="24"/>
              </w:rPr>
              <w:t>运行</w:t>
            </w:r>
            <w:r>
              <w:rPr>
                <w:rFonts w:ascii="仿宋_GB2312" w:hAnsi="仿宋_GB2312" w:cs="仿宋_GB2312" w:eastAsia="仿宋_GB2312"/>
                <w:sz w:val="24"/>
              </w:rPr>
              <w:t>20</w:t>
            </w:r>
            <w:r>
              <w:rPr>
                <w:rFonts w:ascii="仿宋_GB2312" w:hAnsi="仿宋_GB2312" w:cs="仿宋_GB2312" w:eastAsia="仿宋_GB2312"/>
                <w:sz w:val="24"/>
              </w:rPr>
              <w:t>多年</w:t>
            </w:r>
            <w:r>
              <w:rPr>
                <w:rFonts w:ascii="仿宋_GB2312" w:hAnsi="仿宋_GB2312" w:cs="仿宋_GB2312" w:eastAsia="仿宋_GB2312"/>
                <w:sz w:val="24"/>
              </w:rPr>
              <w:t>，</w:t>
            </w:r>
            <w:r>
              <w:rPr>
                <w:rFonts w:ascii="仿宋_GB2312" w:hAnsi="仿宋_GB2312" w:cs="仿宋_GB2312" w:eastAsia="仿宋_GB2312"/>
                <w:sz w:val="24"/>
              </w:rPr>
              <w:t>目前</w:t>
            </w:r>
            <w:r>
              <w:rPr>
                <w:rFonts w:ascii="仿宋_GB2312" w:hAnsi="仿宋_GB2312" w:cs="仿宋_GB2312" w:eastAsia="仿宋_GB2312"/>
                <w:sz w:val="24"/>
              </w:rPr>
              <w:t>1#、2#、3#、4#、5#教学楼外墙瓷砖老化、有明显脱落现象，</w:t>
            </w:r>
            <w:r>
              <w:rPr>
                <w:rFonts w:ascii="仿宋_GB2312" w:hAnsi="仿宋_GB2312" w:cs="仿宋_GB2312" w:eastAsia="仿宋_GB2312"/>
                <w:sz w:val="24"/>
              </w:rPr>
              <w:t>已</w:t>
            </w:r>
            <w:r>
              <w:rPr>
                <w:rFonts w:ascii="仿宋_GB2312" w:hAnsi="仿宋_GB2312" w:cs="仿宋_GB2312" w:eastAsia="仿宋_GB2312"/>
                <w:sz w:val="24"/>
              </w:rPr>
              <w:t>给广大师生带来生命财产安全造成隐患、也不符合高大建筑设计规范，给学校的正常教育教学带来诸多影响，</w:t>
            </w:r>
            <w:r>
              <w:rPr>
                <w:rFonts w:ascii="仿宋_GB2312" w:hAnsi="仿宋_GB2312" w:cs="仿宋_GB2312" w:eastAsia="仿宋_GB2312"/>
                <w:sz w:val="24"/>
              </w:rPr>
              <w:t>为</w:t>
            </w:r>
            <w:r>
              <w:rPr>
                <w:rFonts w:ascii="仿宋_GB2312" w:hAnsi="仿宋_GB2312" w:cs="仿宋_GB2312" w:eastAsia="仿宋_GB2312"/>
                <w:sz w:val="24"/>
              </w:rPr>
              <w:t>消除安全隐患、</w:t>
            </w:r>
            <w:r>
              <w:rPr>
                <w:rFonts w:ascii="仿宋_GB2312" w:hAnsi="仿宋_GB2312" w:cs="仿宋_GB2312" w:eastAsia="仿宋_GB2312"/>
                <w:sz w:val="24"/>
              </w:rPr>
              <w:t>改善学校办学基本条件，推动学校事业高质量发展。</w:t>
            </w:r>
            <w:r>
              <w:rPr>
                <w:rFonts w:ascii="仿宋_GB2312" w:hAnsi="仿宋_GB2312" w:cs="仿宋_GB2312" w:eastAsia="仿宋_GB2312"/>
                <w:sz w:val="24"/>
              </w:rPr>
              <w:t>现</w:t>
            </w:r>
            <w:r>
              <w:rPr>
                <w:rFonts w:ascii="仿宋_GB2312" w:hAnsi="仿宋_GB2312" w:cs="仿宋_GB2312" w:eastAsia="仿宋_GB2312"/>
                <w:sz w:val="24"/>
              </w:rPr>
              <w:t>拟对朝阳校区</w:t>
            </w:r>
            <w:r>
              <w:rPr>
                <w:rFonts w:ascii="仿宋_GB2312" w:hAnsi="仿宋_GB2312" w:cs="仿宋_GB2312" w:eastAsia="仿宋_GB2312"/>
                <w:sz w:val="24"/>
              </w:rPr>
              <w:t>1-5#教学楼外墙进行维修翻新。</w:t>
            </w:r>
          </w:p>
          <w:p>
            <w:pPr>
              <w:pStyle w:val="null3"/>
              <w:jc w:val="left"/>
            </w:pPr>
            <w:r>
              <w:rPr>
                <w:rFonts w:ascii="仿宋_GB2312" w:hAnsi="仿宋_GB2312" w:cs="仿宋_GB2312" w:eastAsia="仿宋_GB2312"/>
                <w:sz w:val="24"/>
                <w:b/>
                <w:color w:val="000000"/>
              </w:rPr>
              <w:t>二、渭南师范学院</w:t>
            </w:r>
            <w:r>
              <w:rPr>
                <w:rFonts w:ascii="仿宋_GB2312" w:hAnsi="仿宋_GB2312" w:cs="仿宋_GB2312" w:eastAsia="仿宋_GB2312"/>
                <w:sz w:val="24"/>
                <w:b/>
                <w:color w:val="000000"/>
              </w:rPr>
              <w:t>1-5#教学楼外墙维修翻新项目设计清单</w:t>
            </w:r>
          </w:p>
          <w:tbl>
            <w:tblPr>
              <w:tblInd w:type="dxa" w:w="135"/>
              <w:tblBorders>
                <w:top w:val="none" w:color="000000" w:sz="4"/>
                <w:left w:val="none" w:color="000000" w:sz="4"/>
                <w:bottom w:val="none" w:color="000000" w:sz="4"/>
                <w:right w:val="none" w:color="000000" w:sz="4"/>
                <w:insideH w:val="none"/>
                <w:insideV w:val="none"/>
              </w:tblBorders>
            </w:tblPr>
            <w:tblGrid>
              <w:gridCol w:w="343"/>
              <w:gridCol w:w="965"/>
              <w:gridCol w:w="485"/>
              <w:gridCol w:w="401"/>
              <w:gridCol w:w="348"/>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种类</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面积</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外墙真石漆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22226.25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外墙抹灰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22226.25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墙面抗裂玻纤网</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22226.25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破除旧块料面层</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22226.25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建筑垃圾外运</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m3</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天棚吊顶拆除安装</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台阶石材面层翻新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外墙脚手架</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21611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钢板网防护</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18213.7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门窗洞包边收口</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8831.82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外墙面修补</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22226.25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超高降效</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已完工程保护</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空调外机拆卸及完工后安装</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窗户安全防护及维修</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防盗网安拆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电路管线保护及安拆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安全文明施工</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行政楼顶装饰造型翻新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4"/>
              </w:rPr>
              <w:t>三、商务要求</w:t>
            </w:r>
          </w:p>
          <w:p>
            <w:pPr>
              <w:pStyle w:val="null3"/>
              <w:ind w:firstLine="480"/>
              <w:jc w:val="left"/>
            </w:pPr>
            <w:r>
              <w:rPr>
                <w:rFonts w:ascii="仿宋_GB2312" w:hAnsi="仿宋_GB2312" w:cs="仿宋_GB2312" w:eastAsia="仿宋_GB2312"/>
                <w:sz w:val="24"/>
                <w:shd w:fill="FFFFFF" w:val="clear"/>
              </w:rPr>
              <w:t>1、朝阳校区1-5#教学楼外墙维修翻新项目设计服务，主要内容为1-5#教学楼维修翻新设计，含图纸、工程量清单、造价、设计方案等内容。</w:t>
            </w:r>
          </w:p>
          <w:p>
            <w:pPr>
              <w:pStyle w:val="null3"/>
              <w:ind w:firstLine="480"/>
              <w:jc w:val="left"/>
            </w:pPr>
            <w:r>
              <w:rPr>
                <w:rFonts w:ascii="仿宋_GB2312" w:hAnsi="仿宋_GB2312" w:cs="仿宋_GB2312" w:eastAsia="仿宋_GB2312"/>
                <w:sz w:val="24"/>
                <w:shd w:fill="FFFFFF" w:val="clear"/>
              </w:rPr>
              <w:t>2、服务期限：自合同签订之日起7个日历日。</w:t>
            </w:r>
          </w:p>
          <w:p>
            <w:pPr>
              <w:pStyle w:val="null3"/>
              <w:ind w:firstLine="480"/>
              <w:jc w:val="left"/>
            </w:pPr>
            <w:r>
              <w:rPr>
                <w:rFonts w:ascii="仿宋_GB2312" w:hAnsi="仿宋_GB2312" w:cs="仿宋_GB2312" w:eastAsia="仿宋_GB2312"/>
                <w:sz w:val="24"/>
                <w:shd w:fill="FFFFFF" w:val="clear"/>
              </w:rPr>
              <w:t>3、质量标准：合格。</w:t>
            </w:r>
          </w:p>
          <w:p>
            <w:pPr>
              <w:pStyle w:val="null3"/>
              <w:ind w:firstLine="480"/>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在合同签订后，按照合同要求按时完成项目内容、达到国家法律法规等相关要求。</w:t>
            </w:r>
          </w:p>
          <w:p>
            <w:pPr>
              <w:pStyle w:val="null3"/>
              <w:ind w:firstLine="480"/>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质保期：项目验收合格后，执行合同中规定的质保期限。质保期内</w:t>
            </w:r>
            <w:r>
              <w:rPr>
                <w:rFonts w:ascii="仿宋_GB2312" w:hAnsi="仿宋_GB2312" w:cs="仿宋_GB2312" w:eastAsia="仿宋_GB2312"/>
                <w:sz w:val="24"/>
                <w:shd w:fill="FFFFFF" w:val="clear"/>
              </w:rPr>
              <w:t>8小时内对服务要求做出响应，2个工作日内到达现场。</w:t>
            </w:r>
          </w:p>
          <w:p>
            <w:pPr>
              <w:pStyle w:val="null3"/>
              <w:ind w:firstLine="480"/>
              <w:jc w:val="left"/>
            </w:pPr>
            <w:r>
              <w:rPr>
                <w:rFonts w:ascii="仿宋_GB2312" w:hAnsi="仿宋_GB2312" w:cs="仿宋_GB2312" w:eastAsia="仿宋_GB2312"/>
                <w:sz w:val="24"/>
                <w:color w:val="000000"/>
              </w:rPr>
              <w:t>6、服务地点：渭南师范学院朝阳校区。</w:t>
            </w:r>
          </w:p>
          <w:p>
            <w:pPr>
              <w:pStyle w:val="null3"/>
              <w:ind w:firstLine="480"/>
              <w:jc w:val="left"/>
            </w:pPr>
            <w:r>
              <w:rPr>
                <w:rFonts w:ascii="仿宋_GB2312" w:hAnsi="仿宋_GB2312" w:cs="仿宋_GB2312" w:eastAsia="仿宋_GB2312"/>
                <w:sz w:val="24"/>
                <w:color w:val="000000"/>
              </w:rPr>
              <w:t>7、款项支付：</w:t>
            </w:r>
            <w:r>
              <w:rPr>
                <w:rFonts w:ascii="仿宋_GB2312" w:hAnsi="仿宋_GB2312" w:cs="仿宋_GB2312" w:eastAsia="仿宋_GB2312"/>
                <w:sz w:val="24"/>
                <w:color w:val="000000"/>
              </w:rPr>
              <w:t>分期付款</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1）合同签订后，支付合同总金额的60.00%；</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2）图纸、设计方案、造价咨询成果等文件交付，且经采购人确认后，支付合同总金额的40.0%；</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3）每笔款项支付完成后，收款方</w:t>
            </w:r>
            <w:r>
              <w:rPr>
                <w:rFonts w:ascii="仿宋_GB2312" w:hAnsi="仿宋_GB2312" w:cs="仿宋_GB2312" w:eastAsia="仿宋_GB2312"/>
                <w:sz w:val="24"/>
                <w:color w:val="000000"/>
              </w:rPr>
              <w:t>须向</w:t>
            </w:r>
            <w:r>
              <w:rPr>
                <w:rFonts w:ascii="仿宋_GB2312" w:hAnsi="仿宋_GB2312" w:cs="仿宋_GB2312" w:eastAsia="仿宋_GB2312"/>
                <w:sz w:val="24"/>
                <w:color w:val="000000"/>
              </w:rPr>
              <w:t>付款方</w:t>
            </w:r>
            <w:r>
              <w:rPr>
                <w:rFonts w:ascii="仿宋_GB2312" w:hAnsi="仿宋_GB2312" w:cs="仿宋_GB2312" w:eastAsia="仿宋_GB2312"/>
                <w:sz w:val="24"/>
                <w:color w:val="000000"/>
              </w:rPr>
              <w:t>开具合法有效的完税发票。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满足本项目实际需求。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满足本项目实际需求，提供与本项目相适应的专业设施和设备。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合同签订后，按照竞争性磋商文件和合同要求按时完成项目内容，达到国家相关法律法规等相关要求。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渭南师范学院朝阳校区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详见竞争性磋商文件和设计服务合同。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进度款，图纸、设计方案、造价咨询成果等文件交付，且经采购人确认后，达到付款条件起7个工作日内，支付合同总金额的40.0%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详见竞争性磋商文件和设计服务合同。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 （2）财务状况报告：提供具有财务审计资质单位出具的2024年度或者2025年度财务审计报告，财务审计报告需具备审计报告、四表一注（四表指资产负债表、利润表、现金流量表、所有者（股东）权益变动表，一注指会计报表附注）和可供查验的二维码等内容（成立时间至响应文件递交截止时间不足一年的可提供成立后任意时段的资产负债表），或者响应文件递交截止时间前六个月内基本开户银行出具的资信证明（以上两种形式的资料提供任何一种即可）； （3）税收缴纳证明：提供响应文件递交截止时间前一年内已缴纳的至少三个月的有效缴税凭证（成立时间至投标截止时间不足三个月的，至少提供一个月的有效纳税凭证），依法免税的供应商应提供相关文件证明； （4）社会保障资金缴纳证明：提供响应文件递交截止时间前一年内已缴存的至少三个月的有效缴存单据或社保机构开具的社会保险参保缴费情况证明，依法不需要缴纳社会保障资金的供应商应提供相关证明； （5）供应商提供具备履行合同所必需的设备和专业技术能力的承诺函（提供书面承诺函）； （6）供应商参加本次采购前3年内，在经营活动中没有重大违法记录的书面声明（提供书面声明）。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者2025年度财务审计报告，财务审计报告需具备审计报告、四表一注（四表指资产负债表、利润表、现金流量表、所有者（股东）权益变动表，一注指会计报表附注）和可供查验的二维码等内容（成立时间至响应文件递交截止时间不足一年的可提供成立后任意时段的资产负债表），或者响应文件递交截止时间前六个月内基本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（1）《三部门联合发布关于促进残疾人就业政府采购政策的通知》（财库〔2017〕141号）； （2）《财政部司法部关于政府采购支持监狱企业发展有关问题的通知》（财库〔2014〕68号）； （3）《政府采购促进中小企业发展管理办法》（财库〔2020〕46号）； （4）《国务院办公厅关于建立政府强制采购节能产品制度的通知》（国办发〔2007〕51号）； （5）《财政部国家发展改革委关于印发〈节能产品政府采购实施意见〉的通知》（财库〔2004〕185号）； （6）《环境标志产品政府采购实施的意见》（财库〔2006〕90号）； （7）《财政部国务院扶贫办关于运用政府采购政策支持脱贫攻坚的通知》（财库〔2019〕27号）； （8）《关于进一步加大政府采购支持中小企业力度的通知》（财库〔2022〕19号）； （9）《陕西省财政厅、中国人民银行西安分行关于深入推进政府采购信用融资业务的通知》（陕财办采〔2023〕5号）； （10）《财政部关于进一步加大政府采购支持中小企业力度的通知》（财库〔2022〕19号）； （11）《招标人主体责任履行指引》（发改法规〔2025〕1358号）； （12）《关于推动解决政府采购异常低价问题的通知》（财库〔2026〕2号）； （13）其他需要落实的政府采购政策（如有最新颁布的政府采购政策，按最新的文件执行）。 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法定代表人授权委托书（附法定代表人身份证复印件）及被授权人身份证（法定代表人直接参加投标只须提供法定代表人身份证明及身份证原件）。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供应商具有建设行政主管部门核发的有效的工程设计综合甲级资质或建筑行业工程设计乙级及以上资质或建筑行业（建筑工程专业）乙级及以上资质。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拟派设计负责人</w:t>
            </w:r>
          </w:p>
        </w:tc>
        <w:tc>
          <w:tcPr>
            <w:tcW w:type="dxa" w:w="3322"/>
          </w:tcPr>
          <w:p>
            <w:pPr>
              <w:pStyle w:val="null3"/>
            </w:pPr>
            <w:r>
              <w:rPr>
                <w:rFonts w:ascii="仿宋_GB2312" w:hAnsi="仿宋_GB2312" w:cs="仿宋_GB2312" w:eastAsia="仿宋_GB2312"/>
              </w:rPr>
              <w:t>供应商拟派设计负责人具有二级及以上注册建筑师执业资格且在本单位注册。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提供网站查询截图）。</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经评审认为供应商的报价出现下列情形：（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5）采购人可以结合具体项目实际情况，提高上述第1项至第3项中启动异常低价投标（响应）审查的数值标准，但是最高不得超过65%；且有可能影响产品质量或者不能诚信履约的，评标委员会应当要求其在合理的时间内提供书面说明，并提交相关证明材料。供应商不能证明其报价合理性的，评标委员会应当将其作为无效响应处理。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均符合竞争性磋商文件要求</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所投内容是否完整</w:t>
            </w:r>
          </w:p>
        </w:tc>
        <w:tc>
          <w:tcPr>
            <w:tcW w:type="dxa" w:w="3322"/>
          </w:tcPr>
          <w:p>
            <w:pPr>
              <w:pStyle w:val="null3"/>
            </w:pPr>
            <w:r>
              <w:rPr>
                <w:rFonts w:ascii="仿宋_GB2312" w:hAnsi="仿宋_GB2312" w:cs="仿宋_GB2312" w:eastAsia="仿宋_GB2312"/>
              </w:rPr>
              <w:t>所投内容完整</w:t>
            </w:r>
          </w:p>
        </w:tc>
        <w:tc>
          <w:tcPr>
            <w:tcW w:type="dxa" w:w="1661"/>
          </w:tcPr>
          <w:p>
            <w:pPr>
              <w:pStyle w:val="null3"/>
            </w:pPr>
            <w:r>
              <w:rPr>
                <w:rFonts w:ascii="仿宋_GB2312" w:hAnsi="仿宋_GB2312" w:cs="仿宋_GB2312" w:eastAsia="仿宋_GB2312"/>
              </w:rPr>
              <w:t>响应文件封面 服务方案及企业业绩.docx 供应商认为有必要补充的证明资料.docx 中小企业声明函 残疾人福利性单位声明函 商务应答表 标的清单 服务内容及服务要求应答表 报价表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签字盖章是否满足竞争性磋商文件要求</w:t>
            </w:r>
          </w:p>
        </w:tc>
        <w:tc>
          <w:tcPr>
            <w:tcW w:type="dxa" w:w="3322"/>
          </w:tcPr>
          <w:p>
            <w:pPr>
              <w:pStyle w:val="null3"/>
            </w:pPr>
            <w:r>
              <w:rPr>
                <w:rFonts w:ascii="仿宋_GB2312" w:hAnsi="仿宋_GB2312" w:cs="仿宋_GB2312" w:eastAsia="仿宋_GB2312"/>
              </w:rPr>
              <w:t>签字盖章均符合竞争性磋商文件要求，且无遗漏</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根据供应商针对本项目编制的整体服务方案进行评分： 1.全部响应采购要求与技术要求，方案内容齐全、详细、科学合理得10分； 2.响应采购要求与技术要求，方案内容比较齐全、详细、科学合理得7分， 3.基本响应采购要求与技术要求得4分； 4.合理性一般，可行性一般的得1分； 5.未提供或方案偏差过大得0分。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根据供应商对本项目的关键性技术、重点难点的解决方案进行评分： 1.针对本项目关键技术、重点、难点的解决方案科学合理、完善、全面、具体、有亮点、可行性强，得4分； 2.针对本项目关键技术、重点、难点的解决方案科学合理、完善、全面、具体，得2分； 3.针对本项目关键技术、重点、难点的解决方案全面但不具体、可行性一般，得1分； 4.未提供或方案偏差过大得0分。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根据供应商对本项目编制的设计方案进行评分。 （1）评审内容： 供应商针对本项目有完善的设计方案，包含但不限于：①设计整体思路架构、②设计依据及原则、③工作任务分解、④经济性与资源节约方案。 （2）评审依据： 以上四项评审内容无缺项，工作组织科学合理，制定的质量保障体系完整，措施具有针对性和可操作性，能够保障项目顺利实施的得满分12分；各项内容阐述不完整、有缺陷的，每一项扣1分；每有一项内容缺失或者内容非针对于本项目扣3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tc>
      </w:tr>
      <w:tr>
        <w:tc>
          <w:tcPr>
            <w:tcW w:type="dxa" w:w="831"/>
            <w:vMerge/>
          </w:tcPr>
          <w:p/>
        </w:tc>
        <w:tc>
          <w:tcPr>
            <w:tcW w:type="dxa" w:w="1661"/>
          </w:tcPr>
          <w:p>
            <w:pPr>
              <w:pStyle w:val="null3"/>
            </w:pPr>
            <w:r>
              <w:rPr>
                <w:rFonts w:ascii="仿宋_GB2312" w:hAnsi="仿宋_GB2312" w:cs="仿宋_GB2312" w:eastAsia="仿宋_GB2312"/>
              </w:rPr>
              <w:t>造价咨询服务方案</w:t>
            </w:r>
          </w:p>
        </w:tc>
        <w:tc>
          <w:tcPr>
            <w:tcW w:type="dxa" w:w="2492"/>
          </w:tcPr>
          <w:p>
            <w:pPr>
              <w:pStyle w:val="null3"/>
            </w:pPr>
            <w:r>
              <w:rPr>
                <w:rFonts w:ascii="仿宋_GB2312" w:hAnsi="仿宋_GB2312" w:cs="仿宋_GB2312" w:eastAsia="仿宋_GB2312"/>
              </w:rPr>
              <w:t>根据供应商对本项目编制的造价咨询方案进行评分。 （1）评审内容： 供应商针对本项目有完善的设计方案，包含但不限于：①造价咨询实施方案；②质量保证措施；③技术保证措施；⑤进度保证措施。 （2）评审依据： 以上五项评审内容无缺项，工作组织科学合理，措施具有针对性和可操作性，能够保障项目顺利实施的得满分10分；各项内容阐述不完整、有缺陷的，每一项扣0.5分；每有一项内容缺失或者内容非针对于本项目扣2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根据供应商对本项目的服务质量保证措施进行评分。 （1）评审内容： 供应商提供针对本项目的服务质量保证措施，包含但不限于：①设计质量控制措施、②造价控制措施、③进度保证措施、④后续工作配合的服务承诺。 （2）评审依据： 以上四项评审内容无缺项，保证措施及承诺概述完整、科学合理，专门针对本项目编制，符合本项目实际情况，能够保障项目顺利实施的得8分；各项内容阐述不完整、有缺陷的，每一项扣0.5分；每有一项内容缺失或者内容非针对于本项目扣2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供应商认为有必要补充的证明资料.docx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根据供应商提供的对成果文件的准确性、服务时限内团队稳定性、人员到位情况、服务质量等相关内容做出的承诺进行赋分。 1.承诺全面、详实，服务质量配合承诺清晰明确，得4分； 2.承诺较为详实全面，服务质量配合承诺基本完善，得2分； 2.承诺不全面，服务质量配合承诺较为简略，得1分； 4.无相关的承诺得0分。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供应商认为有必要补充的证明资料.docx</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根据拟派服务团队的人员数量、专业技术能力、从业经历等赋分。 1.拟派团队人员专业配备及数量合理，经验丰富，分工明确且人员证明材料齐全得4分； 2.拟派团队人员专业配备及数量无严重缺漏，有一定经验，分工不清晰，但有证明材料得2分； 3.拟派团队人员专业配备及数量不合理，缺乏经验，无法充分完成服务工作，且证明材料不足得1分； 4.未提供或人员配备完全无法胜任本项目工作的得0分。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供应商认为有必要补充的证明资料.docx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应急方案编制合理、清晰、明确、有效。 1.应急方案详尽、全面、有效、合理，措施可实施性强，得4分； 2.应急方案有效、合理，措施具有一定实施性，得2分； 3.应急方案具有实施性，得1分。 4.应急措施不合理或未提供，得0分。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tc>
      </w:tr>
      <w:tr>
        <w:tc>
          <w:tcPr>
            <w:tcW w:type="dxa" w:w="831"/>
            <w:vMerge/>
          </w:tcPr>
          <w:p/>
        </w:tc>
        <w:tc>
          <w:tcPr>
            <w:tcW w:type="dxa" w:w="1661"/>
          </w:tcPr>
          <w:p>
            <w:pPr>
              <w:pStyle w:val="null3"/>
            </w:pPr>
            <w:r>
              <w:rPr>
                <w:rFonts w:ascii="仿宋_GB2312" w:hAnsi="仿宋_GB2312" w:cs="仿宋_GB2312" w:eastAsia="仿宋_GB2312"/>
              </w:rPr>
              <w:t>特色服务</w:t>
            </w:r>
          </w:p>
        </w:tc>
        <w:tc>
          <w:tcPr>
            <w:tcW w:type="dxa" w:w="2492"/>
          </w:tcPr>
          <w:p>
            <w:pPr>
              <w:pStyle w:val="null3"/>
            </w:pPr>
            <w:r>
              <w:rPr>
                <w:rFonts w:ascii="仿宋_GB2312" w:hAnsi="仿宋_GB2312" w:cs="仿宋_GB2312" w:eastAsia="仿宋_GB2312"/>
              </w:rPr>
              <w:t>供应商提供实质性的特色服务方案。 1.特色服务内容合理、能够根据采购人特质具备针对性的得4分； 2.供应商提供特色服务方案内容较基本完善可行，但针对性不足的得2分； 3.供应商提供特色服务方案内容较少，但基本可行得1分； 4.供应商未提供得0分。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供应商认为有必要补充的证明资料.docx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供应商可根据自身情况及项目特征，做出本项目的合理化建议。 1.合理化建议详尽、全面、有效、合理，可实施性强，得4分； 2.合理化建议有效、合理、可实施，得2分； 3.合理化建议基本有效，但可实施性有所欠缺，得1分； 4.不合理或未提供得0分。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供应商认为有必要补充的证明资料.docx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供应商提供自2023年5月至今的类似项目业绩（以合同签订时间为准），每提供1份得2分，最高得6分。 注：需提供业绩证明材料，业绩以合同复印件加盖公章为依据，附合同关键页（应包含合同首页、服务内容及金额所在页和签字盖章页等）。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报价得分统一采用低价优先法计算。 即满足竞争性磋商文件要求且磋商报价最低的报价为评标基准价，其价格分为满分30分。 其他供应商的价格分统一按照下列公式计算： 报价得分=（投标基准价/投标报价）×价格权值。 注：（1）报价不完整的，不进入评标基准价的计算，本项得0分。 （2）计算分数时四舍五入取小数点后两位。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详见附件：服务方案及企业业绩.docx</w:t>
      </w:r>
    </w:p>
    <w:p>
      <w:pPr>
        <w:pStyle w:val="null3"/>
        <w:ind w:firstLine="960"/>
      </w:pPr>
      <w:r>
        <w:rPr>
          <w:rFonts w:ascii="仿宋_GB2312" w:hAnsi="仿宋_GB2312" w:cs="仿宋_GB2312" w:eastAsia="仿宋_GB2312"/>
        </w:rPr>
        <w:t>详见附件：供应商认为有必要补充的证明资料.docx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详见附件：设计服务合同条款.docx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